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52"/>
          <w:szCs w:val="5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both"/>
        <w:rPr>
          <w:rFonts w:ascii="黑体" w:eastAsia="黑体"/>
          <w:sz w:val="32"/>
          <w:szCs w:val="32"/>
        </w:rPr>
      </w:pPr>
    </w:p>
    <w:p>
      <w:pPr>
        <w:spacing w:line="500" w:lineRule="exact"/>
        <w:ind w:firstLine="645"/>
        <w:jc w:val="center"/>
        <w:rPr>
          <w:rFonts w:hint="eastAsia" w:ascii="宋体" w:hAnsi="宋体" w:cs="宋体"/>
          <w:b/>
          <w:bCs/>
          <w:kern w:val="0"/>
          <w:sz w:val="44"/>
          <w:szCs w:val="36"/>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bookmarkStart w:id="8" w:name="_GoBack"/>
      <w:bookmarkEnd w:id="8"/>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3"/>
        <w:rPr>
          <w:rFonts w:hint="default"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北京市交通委员会昌平公路分局（简称市交通委昌平公路分局）是市交通委派出机构，实行垂直管理体制。</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分局主要职责是：</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1.贯彻执行国家、本市关于公路行政管理方面的法律法规、规章和政策。</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2.负责本行政区市管普通公路行政审批工作。负责本行政区公路管理领域事中事后监管工作。</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3.参与编制本行政区公路规划。参与本行政区建设项目交通影响评价审查。研究编制本行政区市管普通公路年度建设与养护建议计划，并组织实施。</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4.负责本行政区公路建设和养护的行业管理。负责市管普通公路建设和养护工程质量安全的监督管理。负责本行政区市管公路设施安全的监督管理。</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5.负责本行政区公路路网管理和运行监测工作。</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6.负责本行政区市管普通公路及其附属设施的应急管理。组织开展本行政区市管普通公路防汛抢险、铲冰除雪等工作。</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7.负责本行政区乡村公路建设与养护管理的行业指导。</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8.承担本单位接诉即办工作。</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9.配合开展宣传报道工作。</w:t>
      </w:r>
    </w:p>
    <w:p>
      <w:pPr>
        <w:pStyle w:val="3"/>
      </w:pPr>
      <w:r>
        <w:rPr>
          <w:rFonts w:hint="eastAsia" w:ascii="仿宋_GB2312" w:hAnsi="Times New Roman" w:eastAsia="仿宋_GB2312" w:cs="Times New Roman"/>
          <w:kern w:val="2"/>
          <w:sz w:val="28"/>
          <w:szCs w:val="28"/>
          <w:lang w:val="en-US" w:eastAsia="zh-CN" w:bidi="ar-SA"/>
        </w:rPr>
        <w:t>10.完成市交通委交办的其他任务。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37764.53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17630.93</w:t>
      </w:r>
      <w:r>
        <w:rPr>
          <w:rFonts w:hint="eastAsia" w:ascii="仿宋_GB2312" w:eastAsia="仿宋_GB2312"/>
          <w:sz w:val="28"/>
          <w:szCs w:val="28"/>
        </w:rPr>
        <w:t>万元，下降</w:t>
      </w:r>
      <w:r>
        <w:rPr>
          <w:rFonts w:hint="eastAsia" w:ascii="仿宋_GB2312" w:eastAsia="仿宋_GB2312"/>
          <w:sz w:val="28"/>
          <w:szCs w:val="28"/>
          <w:lang w:val="en-US" w:eastAsia="zh-CN"/>
        </w:rPr>
        <w:t>31.83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30251.8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Times New Roman" w:eastAsia="仿宋_GB2312" w:cs="Times New Roman"/>
          <w:sz w:val="28"/>
          <w:szCs w:val="28"/>
          <w:lang w:val="en-US" w:eastAsia="zh-CN"/>
        </w:rPr>
        <w:t>24398.46</w:t>
      </w:r>
      <w:r>
        <w:rPr>
          <w:rFonts w:hint="eastAsia" w:ascii="仿宋_GB2312" w:eastAsia="仿宋_GB2312"/>
          <w:sz w:val="28"/>
          <w:szCs w:val="28"/>
        </w:rPr>
        <w:t>万元，下降</w:t>
      </w:r>
      <w:r>
        <w:rPr>
          <w:rFonts w:hint="eastAsia" w:ascii="仿宋_GB2312" w:eastAsia="仿宋_GB2312"/>
          <w:sz w:val="28"/>
          <w:szCs w:val="28"/>
          <w:lang w:val="en-US" w:eastAsia="zh-CN"/>
        </w:rPr>
        <w:t>44.64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25312.72</w:t>
      </w:r>
      <w:r>
        <w:rPr>
          <w:rFonts w:hint="eastAsia" w:ascii="仿宋_GB2312" w:eastAsia="仿宋_GB2312"/>
          <w:sz w:val="28"/>
          <w:szCs w:val="28"/>
        </w:rPr>
        <w:t>万元，占收入合计的</w:t>
      </w:r>
      <w:r>
        <w:rPr>
          <w:rFonts w:hint="eastAsia" w:ascii="仿宋_GB2312" w:eastAsia="仿宋_GB2312"/>
          <w:sz w:val="28"/>
          <w:szCs w:val="28"/>
          <w:lang w:eastAsia="zh-CN"/>
        </w:rPr>
        <w:t>83.67%。</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23701.72</w:t>
      </w:r>
      <w:r>
        <w:rPr>
          <w:rFonts w:hint="eastAsia" w:ascii="仿宋_GB2312" w:eastAsia="仿宋_GB2312"/>
          <w:sz w:val="28"/>
          <w:szCs w:val="28"/>
        </w:rPr>
        <w:t>万元，占收入合计的</w:t>
      </w:r>
      <w:r>
        <w:rPr>
          <w:rFonts w:hint="eastAsia" w:ascii="仿宋_GB2312" w:eastAsia="仿宋_GB2312"/>
          <w:sz w:val="28"/>
          <w:szCs w:val="28"/>
          <w:lang w:eastAsia="zh-CN"/>
        </w:rPr>
        <w:t>78.35</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1611</w:t>
      </w:r>
      <w:r>
        <w:rPr>
          <w:rFonts w:hint="eastAsia" w:ascii="仿宋_GB2312" w:eastAsia="仿宋_GB2312"/>
          <w:sz w:val="28"/>
          <w:szCs w:val="28"/>
        </w:rPr>
        <w:t>万元，占收入合计的</w:t>
      </w:r>
      <w:r>
        <w:rPr>
          <w:rFonts w:hint="eastAsia" w:ascii="仿宋_GB2312" w:eastAsia="仿宋_GB2312"/>
          <w:sz w:val="28"/>
          <w:szCs w:val="28"/>
          <w:lang w:eastAsia="zh-CN"/>
        </w:rPr>
        <w:t>5.33</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4939.08</w:t>
      </w:r>
      <w:r>
        <w:rPr>
          <w:rFonts w:hint="eastAsia" w:ascii="仿宋_GB2312" w:eastAsia="仿宋_GB2312"/>
          <w:sz w:val="28"/>
          <w:szCs w:val="28"/>
        </w:rPr>
        <w:t>万元，占收入合计的</w:t>
      </w:r>
      <w:r>
        <w:rPr>
          <w:rFonts w:hint="eastAsia" w:ascii="仿宋_GB2312" w:eastAsia="仿宋_GB2312"/>
          <w:sz w:val="28"/>
          <w:szCs w:val="28"/>
          <w:lang w:eastAsia="zh-CN"/>
        </w:rPr>
        <w:t>16.33</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474210" cy="2518410"/>
            <wp:effectExtent l="0" t="0" r="2540" b="1524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35873.51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3096.17</w:t>
      </w:r>
      <w:r>
        <w:rPr>
          <w:rFonts w:hint="eastAsia" w:ascii="仿宋_GB2312" w:eastAsia="仿宋_GB2312"/>
          <w:sz w:val="28"/>
          <w:szCs w:val="28"/>
        </w:rPr>
        <w:t>万元，下降</w:t>
      </w:r>
      <w:r>
        <w:rPr>
          <w:rFonts w:hint="eastAsia" w:ascii="仿宋_GB2312" w:eastAsia="仿宋_GB2312"/>
          <w:sz w:val="28"/>
          <w:szCs w:val="28"/>
          <w:lang w:val="en-US" w:eastAsia="zh-CN"/>
        </w:rPr>
        <w:t>7.95</w:t>
      </w:r>
      <w:r>
        <w:rPr>
          <w:rFonts w:hint="eastAsia" w:ascii="仿宋_GB2312" w:eastAsia="仿宋_GB2312"/>
          <w:sz w:val="28"/>
          <w:szCs w:val="28"/>
        </w:rPr>
        <w:t>%，其中：基本支出</w:t>
      </w:r>
      <w:r>
        <w:rPr>
          <w:rFonts w:ascii="仿宋_GB2312" w:eastAsia="仿宋_GB2312"/>
          <w:sz w:val="28"/>
          <w:szCs w:val="28"/>
        </w:rPr>
        <w:t>2303.04</w:t>
      </w:r>
      <w:r>
        <w:rPr>
          <w:rFonts w:hint="eastAsia" w:ascii="仿宋_GB2312" w:eastAsia="仿宋_GB2312"/>
          <w:sz w:val="28"/>
          <w:szCs w:val="28"/>
        </w:rPr>
        <w:t>万元，占支出合计的</w:t>
      </w:r>
      <w:r>
        <w:rPr>
          <w:rFonts w:hint="eastAsia" w:ascii="仿宋_GB2312" w:eastAsia="仿宋_GB2312"/>
          <w:sz w:val="28"/>
          <w:szCs w:val="28"/>
          <w:lang w:eastAsia="zh-CN"/>
        </w:rPr>
        <w:t>6.42</w:t>
      </w:r>
      <w:r>
        <w:rPr>
          <w:rFonts w:hint="eastAsia" w:ascii="仿宋_GB2312" w:eastAsia="仿宋_GB2312"/>
          <w:sz w:val="28"/>
          <w:szCs w:val="28"/>
        </w:rPr>
        <w:t>%；项目支出</w:t>
      </w:r>
      <w:r>
        <w:rPr>
          <w:rFonts w:ascii="仿宋_GB2312" w:eastAsia="仿宋_GB2312"/>
          <w:sz w:val="28"/>
          <w:szCs w:val="28"/>
        </w:rPr>
        <w:t>33570.47</w:t>
      </w:r>
      <w:r>
        <w:rPr>
          <w:rFonts w:hint="eastAsia" w:ascii="仿宋_GB2312" w:eastAsia="仿宋_GB2312"/>
          <w:sz w:val="28"/>
          <w:szCs w:val="28"/>
        </w:rPr>
        <w:t>万元，占支出合计的</w:t>
      </w:r>
      <w:r>
        <w:rPr>
          <w:rFonts w:hint="eastAsia" w:ascii="仿宋_GB2312" w:eastAsia="仿宋_GB2312"/>
          <w:sz w:val="28"/>
          <w:szCs w:val="28"/>
          <w:lang w:eastAsia="zh-CN"/>
        </w:rPr>
        <w:t>93.58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31515.19</w:t>
      </w:r>
      <w:r>
        <w:rPr>
          <w:rFonts w:hint="eastAsia" w:ascii="仿宋_GB2312" w:eastAsia="仿宋_GB2312"/>
          <w:sz w:val="28"/>
          <w:szCs w:val="28"/>
        </w:rPr>
        <w:t>万元，比上年减少</w:t>
      </w:r>
      <w:r>
        <w:rPr>
          <w:rFonts w:hint="eastAsia" w:ascii="仿宋_GB2312" w:eastAsia="仿宋_GB2312"/>
          <w:sz w:val="28"/>
          <w:szCs w:val="28"/>
          <w:lang w:val="en-US" w:eastAsia="zh-CN"/>
        </w:rPr>
        <w:t>21350.09</w:t>
      </w:r>
      <w:r>
        <w:rPr>
          <w:rFonts w:hint="eastAsia" w:ascii="仿宋_GB2312" w:eastAsia="仿宋_GB2312"/>
          <w:sz w:val="28"/>
          <w:szCs w:val="28"/>
        </w:rPr>
        <w:t>万元，下降</w:t>
      </w:r>
      <w:r>
        <w:rPr>
          <w:rFonts w:hint="eastAsia" w:ascii="仿宋_GB2312" w:eastAsia="仿宋_GB2312"/>
          <w:sz w:val="28"/>
          <w:szCs w:val="28"/>
          <w:lang w:val="en-US" w:eastAsia="zh-CN"/>
        </w:rPr>
        <w:t>40.39%</w:t>
      </w:r>
      <w:r>
        <w:rPr>
          <w:rFonts w:hint="eastAsia" w:ascii="仿宋_GB2312" w:eastAsia="仿宋_GB2312"/>
          <w:sz w:val="28"/>
          <w:szCs w:val="28"/>
        </w:rPr>
        <w:t>。主要原因：上年由于23·7水毁</w:t>
      </w:r>
      <w:r>
        <w:rPr>
          <w:rFonts w:hint="eastAsia" w:ascii="仿宋_GB2312" w:eastAsia="仿宋_GB2312"/>
          <w:sz w:val="28"/>
          <w:szCs w:val="28"/>
          <w:lang w:eastAsia="zh-CN"/>
        </w:rPr>
        <w:t>事件</w:t>
      </w:r>
      <w:r>
        <w:rPr>
          <w:rFonts w:hint="eastAsia" w:ascii="仿宋_GB2312" w:eastAsia="仿宋_GB2312"/>
          <w:sz w:val="28"/>
          <w:szCs w:val="28"/>
        </w:rPr>
        <w:t>，水毁恢复重建项目和三年提升项目资金量较大，本年有所减少。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28161.25</w:t>
      </w:r>
      <w:r>
        <w:rPr>
          <w:rFonts w:hint="eastAsia" w:ascii="仿宋_GB2312" w:eastAsia="仿宋_GB2312"/>
          <w:sz w:val="28"/>
          <w:szCs w:val="28"/>
        </w:rPr>
        <w:t>万元，主要用于以下方面：教育培训支出3.20万元，占本年财政拨款支出0.01%；社会保障和就业支出</w:t>
      </w:r>
      <w:r>
        <w:rPr>
          <w:rFonts w:hint="eastAsia" w:ascii="仿宋_GB2312" w:eastAsia="仿宋_GB2312"/>
          <w:sz w:val="28"/>
          <w:szCs w:val="28"/>
          <w:lang w:val="en-US" w:eastAsia="zh-CN"/>
        </w:rPr>
        <w:t>245.95</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88</w:t>
      </w:r>
      <w:r>
        <w:rPr>
          <w:rFonts w:hint="eastAsia" w:ascii="仿宋_GB2312" w:eastAsia="仿宋_GB2312"/>
          <w:sz w:val="28"/>
          <w:szCs w:val="28"/>
        </w:rPr>
        <w:t>%；卫生健康支出14</w:t>
      </w:r>
      <w:r>
        <w:rPr>
          <w:rFonts w:hint="eastAsia" w:ascii="仿宋_GB2312" w:eastAsia="仿宋_GB2312"/>
          <w:sz w:val="28"/>
          <w:szCs w:val="28"/>
          <w:lang w:val="en-US" w:eastAsia="zh-CN"/>
        </w:rPr>
        <w:t>9.83</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53</w:t>
      </w:r>
      <w:r>
        <w:rPr>
          <w:rFonts w:hint="eastAsia" w:ascii="仿宋_GB2312" w:eastAsia="仿宋_GB2312"/>
          <w:sz w:val="28"/>
          <w:szCs w:val="28"/>
        </w:rPr>
        <w:t>%；交通运输支出</w:t>
      </w:r>
      <w:r>
        <w:rPr>
          <w:rFonts w:hint="eastAsia" w:ascii="仿宋_GB2312" w:eastAsia="仿宋_GB2312"/>
          <w:sz w:val="28"/>
          <w:szCs w:val="28"/>
          <w:lang w:val="en-US" w:eastAsia="zh-CN"/>
        </w:rPr>
        <w:t>23819.36</w:t>
      </w:r>
      <w:r>
        <w:rPr>
          <w:rFonts w:hint="eastAsia" w:ascii="仿宋_GB2312" w:eastAsia="仿宋_GB2312"/>
          <w:sz w:val="28"/>
          <w:szCs w:val="28"/>
        </w:rPr>
        <w:t xml:space="preserve">万元，占本年财政拨款支出 </w:t>
      </w:r>
      <w:r>
        <w:rPr>
          <w:rFonts w:hint="eastAsia" w:ascii="仿宋_GB2312" w:eastAsia="仿宋_GB2312"/>
          <w:sz w:val="28"/>
          <w:szCs w:val="28"/>
          <w:lang w:val="en-US" w:eastAsia="zh-CN"/>
        </w:rPr>
        <w:t>84.58</w:t>
      </w:r>
      <w:r>
        <w:rPr>
          <w:rFonts w:hint="eastAsia" w:ascii="仿宋_GB2312" w:eastAsia="仿宋_GB2312"/>
          <w:sz w:val="28"/>
          <w:szCs w:val="28"/>
        </w:rPr>
        <w:t>%；灾害防治及应急管理支出</w:t>
      </w:r>
      <w:r>
        <w:rPr>
          <w:rFonts w:hint="eastAsia" w:ascii="仿宋_GB2312" w:eastAsia="仿宋_GB2312"/>
          <w:sz w:val="28"/>
          <w:szCs w:val="28"/>
          <w:lang w:val="en-US" w:eastAsia="zh-CN"/>
        </w:rPr>
        <w:t>3942.91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14.00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1.“培训支出”202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年度年初预算3.20万元，202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eastAsia="zh-CN"/>
        </w:rPr>
        <w:t>度决算</w:t>
      </w:r>
      <w:r>
        <w:rPr>
          <w:rFonts w:hint="eastAsia" w:ascii="仿宋_GB2312" w:eastAsia="仿宋_GB2312"/>
          <w:sz w:val="28"/>
          <w:szCs w:val="28"/>
          <w:highlight w:val="none"/>
          <w:lang w:val="en-US" w:eastAsia="zh-CN"/>
        </w:rPr>
        <w:t>3.20万元，完成年初预算的100%</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2.“社会保障和就业支出”</w:t>
      </w:r>
      <w:r>
        <w:rPr>
          <w:rFonts w:hint="eastAsia" w:ascii="仿宋_GB2312" w:eastAsia="仿宋_GB2312"/>
          <w:sz w:val="28"/>
          <w:szCs w:val="28"/>
          <w:highlight w:val="none"/>
          <w:lang w:val="en-US" w:eastAsia="zh-CN"/>
        </w:rPr>
        <w:t>2024年度年初预算249.20万元，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bookmarkStart w:id="0" w:name="OLE_LINK1"/>
      <w:r>
        <w:rPr>
          <w:rFonts w:hint="eastAsia" w:ascii="仿宋_GB2312" w:eastAsia="仿宋_GB2312"/>
          <w:sz w:val="28"/>
          <w:szCs w:val="28"/>
          <w:highlight w:val="none"/>
          <w:lang w:val="en-US" w:eastAsia="zh-CN"/>
        </w:rPr>
        <w:t>245.95</w:t>
      </w:r>
      <w:bookmarkEnd w:id="0"/>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98.69%</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2024年度年初预算249.20万元，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245.95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98.69%</w:t>
      </w:r>
      <w:r>
        <w:rPr>
          <w:rFonts w:hint="eastAsia" w:ascii="仿宋_GB2312" w:eastAsia="仿宋_GB2312"/>
          <w:sz w:val="28"/>
          <w:szCs w:val="28"/>
          <w:highlight w:val="none"/>
        </w:rPr>
        <w:t>。主要原因：</w:t>
      </w:r>
      <w:bookmarkStart w:id="1" w:name="OLE_LINK10"/>
      <w:r>
        <w:rPr>
          <w:rFonts w:hint="eastAsia" w:ascii="仿宋_GB2312" w:eastAsia="仿宋_GB2312"/>
          <w:sz w:val="28"/>
          <w:szCs w:val="28"/>
          <w:highlight w:val="none"/>
        </w:rPr>
        <w:t>执行全市统一职业年金缴费及离休人员工资标准，在预算执行过程中根据实际人员情况安排支出。</w:t>
      </w:r>
      <w:bookmarkEnd w:id="1"/>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3.“卫生健康支出”</w:t>
      </w:r>
      <w:bookmarkStart w:id="2" w:name="OLE_LINK4"/>
      <w:r>
        <w:rPr>
          <w:rFonts w:hint="eastAsia" w:ascii="仿宋_GB2312" w:eastAsia="仿宋_GB2312"/>
          <w:sz w:val="28"/>
          <w:szCs w:val="28"/>
          <w:highlight w:val="none"/>
          <w:lang w:val="en-US" w:eastAsia="zh-CN"/>
        </w:rPr>
        <w:t>2024年度年初预算149.83万元，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149.83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bookmarkEnd w:id="2"/>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149.83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149.83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4.“交通运输支出”</w:t>
      </w:r>
      <w:r>
        <w:rPr>
          <w:rFonts w:hint="eastAsia" w:ascii="仿宋_GB2312" w:eastAsia="仿宋_GB2312"/>
          <w:sz w:val="28"/>
          <w:szCs w:val="28"/>
          <w:highlight w:val="none"/>
          <w:lang w:val="en-US" w:eastAsia="zh-CN"/>
        </w:rPr>
        <w:t>2024年度年初预算14989.95万元，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23819.36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158.9%</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“公路水路运输”</w:t>
      </w:r>
      <w:r>
        <w:rPr>
          <w:rFonts w:hint="eastAsia" w:ascii="仿宋_GB2312" w:eastAsia="仿宋_GB2312"/>
          <w:sz w:val="28"/>
          <w:szCs w:val="28"/>
          <w:highlight w:val="none"/>
          <w:lang w:val="en-US" w:eastAsia="zh-CN"/>
        </w:rPr>
        <w:t>2024年度年初预算14989.95万元，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23819.36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158.9%</w:t>
      </w:r>
      <w:r>
        <w:rPr>
          <w:rFonts w:hint="eastAsia" w:ascii="仿宋_GB2312" w:eastAsia="仿宋_GB2312"/>
          <w:sz w:val="28"/>
          <w:szCs w:val="28"/>
          <w:highlight w:val="none"/>
        </w:rPr>
        <w:t>。主要原因：</w:t>
      </w:r>
      <w:bookmarkStart w:id="3" w:name="OLE_LINK11"/>
      <w:r>
        <w:rPr>
          <w:rFonts w:hint="eastAsia" w:ascii="仿宋_GB2312" w:eastAsia="仿宋_GB2312"/>
          <w:sz w:val="28"/>
          <w:szCs w:val="28"/>
          <w:highlight w:val="none"/>
        </w:rPr>
        <w:t>年中追加</w:t>
      </w:r>
      <w:r>
        <w:rPr>
          <w:rFonts w:hint="eastAsia" w:ascii="仿宋_GB2312" w:hAnsi="Times New Roman" w:eastAsia="仿宋_GB2312" w:cs="Times New Roman"/>
          <w:sz w:val="28"/>
          <w:szCs w:val="28"/>
          <w:highlight w:val="none"/>
          <w:lang w:eastAsia="zh-CN"/>
        </w:rPr>
        <w:t>三条道路预防性养护项目、七北路及亭阳路道路工程等</w:t>
      </w:r>
      <w:r>
        <w:rPr>
          <w:rFonts w:hint="eastAsia" w:ascii="仿宋_GB2312" w:eastAsia="仿宋_GB2312"/>
          <w:sz w:val="28"/>
          <w:szCs w:val="28"/>
          <w:highlight w:val="none"/>
        </w:rPr>
        <w:t>项目</w:t>
      </w:r>
      <w:bookmarkEnd w:id="3"/>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5.“灾害防治及应急管理支出”</w:t>
      </w:r>
      <w:bookmarkStart w:id="4" w:name="OLE_LINK6"/>
      <w:r>
        <w:rPr>
          <w:rFonts w:hint="eastAsia" w:ascii="仿宋_GB2312" w:eastAsia="仿宋_GB2312"/>
          <w:sz w:val="28"/>
          <w:szCs w:val="28"/>
          <w:highlight w:val="none"/>
          <w:lang w:val="en-US" w:eastAsia="zh-CN"/>
        </w:rPr>
        <w:t>2024年度年初预算14188.34万元，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3942.91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27.79%</w:t>
      </w:r>
      <w:r>
        <w:rPr>
          <w:rFonts w:hint="eastAsia" w:ascii="仿宋_GB2312" w:eastAsia="仿宋_GB2312"/>
          <w:sz w:val="28"/>
          <w:szCs w:val="28"/>
          <w:highlight w:val="none"/>
        </w:rPr>
        <w:t>。</w:t>
      </w:r>
      <w:bookmarkEnd w:id="4"/>
      <w:r>
        <w:rPr>
          <w:rFonts w:hint="eastAsia" w:ascii="仿宋_GB2312" w:eastAsia="仿宋_GB2312"/>
          <w:sz w:val="28"/>
          <w:szCs w:val="28"/>
          <w:highlight w:val="none"/>
        </w:rPr>
        <w:t>其中：</w:t>
      </w:r>
    </w:p>
    <w:p>
      <w:pPr>
        <w:spacing w:line="580" w:lineRule="exact"/>
        <w:ind w:firstLine="560" w:firstLineChars="200"/>
        <w:rPr>
          <w:rFonts w:hint="eastAsia"/>
          <w:highlight w:val="none"/>
        </w:rPr>
      </w:pPr>
      <w:r>
        <w:rPr>
          <w:rFonts w:hint="eastAsia" w:ascii="仿宋_GB2312" w:eastAsia="仿宋_GB2312"/>
          <w:sz w:val="28"/>
          <w:szCs w:val="28"/>
          <w:highlight w:val="none"/>
        </w:rPr>
        <w:t>“自然灾害救灾及恢复重建支出”</w:t>
      </w:r>
      <w:r>
        <w:rPr>
          <w:rFonts w:hint="eastAsia" w:ascii="仿宋_GB2312" w:eastAsia="仿宋_GB2312"/>
          <w:sz w:val="28"/>
          <w:szCs w:val="28"/>
          <w:highlight w:val="none"/>
          <w:lang w:val="en-US" w:eastAsia="zh-CN"/>
        </w:rPr>
        <w:t>2024年度年初预算14188.34万元，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3942.91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27.79%</w:t>
      </w:r>
      <w:r>
        <w:rPr>
          <w:rFonts w:hint="eastAsia" w:ascii="仿宋_GB2312" w:eastAsia="仿宋_GB2312"/>
          <w:sz w:val="28"/>
          <w:szCs w:val="28"/>
          <w:highlight w:val="none"/>
        </w:rPr>
        <w:t>。主要原</w:t>
      </w:r>
      <w:r>
        <w:rPr>
          <w:rFonts w:hint="eastAsia" w:ascii="仿宋_GB2312" w:eastAsia="仿宋_GB2312"/>
          <w:sz w:val="28"/>
          <w:szCs w:val="28"/>
          <w:highlight w:val="none"/>
          <w:lang w:eastAsia="zh-CN"/>
        </w:rPr>
        <w:t>因：</w:t>
      </w:r>
      <w:bookmarkStart w:id="5" w:name="OLE_LINK12"/>
      <w:r>
        <w:rPr>
          <w:rFonts w:hint="eastAsia" w:ascii="仿宋_GB2312" w:eastAsia="仿宋_GB2312"/>
          <w:sz w:val="28"/>
          <w:szCs w:val="28"/>
          <w:highlight w:val="none"/>
          <w:lang w:eastAsia="zh-CN"/>
        </w:rPr>
        <w:t>根据全市统筹规划，部分项目本年暂目不实施，相关资金调减收回</w:t>
      </w:r>
      <w:r>
        <w:rPr>
          <w:rFonts w:hint="eastAsia" w:ascii="仿宋_GB2312" w:eastAsia="仿宋_GB2312"/>
          <w:sz w:val="28"/>
          <w:szCs w:val="28"/>
          <w:highlight w:val="none"/>
        </w:rPr>
        <w:t>。</w:t>
      </w:r>
      <w:bookmarkEnd w:id="5"/>
    </w:p>
    <w:p>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年度政府性基金预算财政拨款支出</w:t>
      </w:r>
      <w:r>
        <w:rPr>
          <w:rFonts w:ascii="仿宋_GB2312" w:eastAsia="仿宋_GB2312"/>
          <w:sz w:val="28"/>
          <w:szCs w:val="28"/>
          <w:highlight w:val="none"/>
        </w:rPr>
        <w:t>1517.31</w:t>
      </w:r>
      <w:r>
        <w:rPr>
          <w:rFonts w:hint="eastAsia" w:ascii="仿宋_GB2312" w:eastAsia="仿宋_GB2312"/>
          <w:sz w:val="28"/>
          <w:szCs w:val="28"/>
          <w:highlight w:val="none"/>
        </w:rPr>
        <w:t>万元，主要用于以下方面：城乡社区支出</w:t>
      </w:r>
      <w:bookmarkStart w:id="6" w:name="OLE_LINK8"/>
      <w:r>
        <w:rPr>
          <w:rFonts w:ascii="仿宋_GB2312" w:eastAsia="仿宋_GB2312"/>
          <w:sz w:val="28"/>
          <w:szCs w:val="28"/>
          <w:highlight w:val="none"/>
        </w:rPr>
        <w:t>1517.31</w:t>
      </w:r>
      <w:bookmarkEnd w:id="6"/>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5.11</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（二）政府性基金预算财政拨款支出决算具体情况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“城乡社区支出”</w:t>
      </w:r>
      <w:bookmarkStart w:id="7" w:name="OLE_LINK9"/>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w:t>
      </w:r>
      <w:r>
        <w:rPr>
          <w:rFonts w:ascii="仿宋_GB2312" w:eastAsia="仿宋_GB2312"/>
          <w:sz w:val="28"/>
          <w:szCs w:val="28"/>
          <w:highlight w:val="none"/>
        </w:rPr>
        <w:t>1517.31</w:t>
      </w:r>
      <w:r>
        <w:rPr>
          <w:rFonts w:hint="eastAsia" w:ascii="仿宋_GB2312" w:eastAsia="仿宋_GB2312"/>
          <w:sz w:val="28"/>
          <w:szCs w:val="28"/>
          <w:highlight w:val="none"/>
        </w:rPr>
        <w:t>万元。</w:t>
      </w:r>
      <w:bookmarkEnd w:id="7"/>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“国有土地使用权出让收入安排的支出”</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w:t>
      </w:r>
      <w:r>
        <w:rPr>
          <w:rFonts w:ascii="仿宋_GB2312" w:eastAsia="仿宋_GB2312"/>
          <w:sz w:val="28"/>
          <w:szCs w:val="28"/>
          <w:highlight w:val="none"/>
        </w:rPr>
        <w:t>1517.31</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：该资金支出用于高芹路（昌平段）道路工程</w:t>
      </w:r>
      <w:r>
        <w:rPr>
          <w:rFonts w:hint="eastAsia" w:ascii="仿宋_GB2312" w:eastAsia="仿宋_GB2312"/>
          <w:sz w:val="28"/>
          <w:szCs w:val="28"/>
          <w:highlight w:val="none"/>
        </w:rPr>
        <w:t>。</w:t>
      </w:r>
    </w:p>
    <w:p>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2296.25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5.6</w:t>
      </w:r>
      <w:r>
        <w:rPr>
          <w:rFonts w:hint="eastAsia" w:ascii="仿宋_GB2312" w:eastAsia="仿宋_GB2312"/>
          <w:sz w:val="28"/>
          <w:szCs w:val="28"/>
        </w:rPr>
        <w:t>万元，</w:t>
      </w:r>
      <w:r>
        <w:rPr>
          <w:rFonts w:hint="eastAsia" w:ascii="仿宋_GB2312" w:eastAsia="仿宋_GB2312"/>
          <w:sz w:val="28"/>
          <w:szCs w:val="28"/>
          <w:lang w:eastAsia="zh-CN"/>
        </w:rPr>
        <w:t>与2024</w:t>
      </w:r>
      <w:r>
        <w:rPr>
          <w:rFonts w:hint="eastAsia" w:ascii="仿宋_GB2312" w:eastAsia="仿宋_GB2312"/>
          <w:sz w:val="28"/>
          <w:szCs w:val="28"/>
        </w:rPr>
        <w:t>年度“三公”经费财政拨款年初预算</w:t>
      </w:r>
      <w:r>
        <w:rPr>
          <w:rFonts w:ascii="仿宋_GB2312" w:eastAsia="仿宋_GB2312"/>
          <w:sz w:val="28"/>
          <w:szCs w:val="28"/>
        </w:rPr>
        <w:t>5.6</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5.6</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5.6</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5.6</w:t>
      </w:r>
      <w:r>
        <w:rPr>
          <w:rFonts w:hint="eastAsia" w:ascii="仿宋_GB2312" w:eastAsia="仿宋_GB2312"/>
          <w:sz w:val="28"/>
          <w:szCs w:val="28"/>
        </w:rPr>
        <w:t>万元</w:t>
      </w:r>
      <w:r>
        <w:rPr>
          <w:rFonts w:hint="eastAsia" w:ascii="仿宋_GB2312" w:eastAsia="仿宋_GB2312"/>
          <w:sz w:val="28"/>
          <w:szCs w:val="28"/>
          <w:lang w:val="en-US" w:eastAsia="zh-CN"/>
        </w:rPr>
        <w:t>,主要原因：贯彻“过紧日子”要求，对公务用车使用认真把关，严格落实公务用车管理制度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9</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337.87</w:t>
      </w:r>
      <w:r>
        <w:rPr>
          <w:rFonts w:hint="eastAsia" w:ascii="仿宋_GB2312" w:eastAsia="仿宋_GB2312"/>
          <w:sz w:val="28"/>
          <w:szCs w:val="28"/>
        </w:rPr>
        <w:t>万元，比上年减少</w:t>
      </w:r>
      <w:r>
        <w:rPr>
          <w:rFonts w:hint="eastAsia" w:ascii="仿宋_GB2312" w:eastAsia="仿宋_GB2312"/>
          <w:sz w:val="28"/>
          <w:szCs w:val="28"/>
          <w:lang w:val="en-US" w:eastAsia="zh-CN"/>
        </w:rPr>
        <w:t>16.16</w:t>
      </w:r>
      <w:r>
        <w:rPr>
          <w:rFonts w:hint="eastAsia" w:ascii="仿宋_GB2312" w:eastAsia="仿宋_GB2312"/>
          <w:sz w:val="28"/>
          <w:szCs w:val="28"/>
        </w:rPr>
        <w:t>万元，减少原因：</w:t>
      </w:r>
      <w:r>
        <w:rPr>
          <w:rFonts w:hint="eastAsia" w:ascii="仿宋_GB2312" w:eastAsia="仿宋_GB2312"/>
          <w:sz w:val="28"/>
          <w:szCs w:val="28"/>
          <w:lang w:eastAsia="zh-CN"/>
        </w:rPr>
        <w:t>贯彻“过紧日子”要求，</w:t>
      </w:r>
      <w:r>
        <w:rPr>
          <w:rFonts w:hint="eastAsia" w:ascii="仿宋_GB2312" w:hAnsi="Times New Roman" w:eastAsia="仿宋_GB2312" w:cs="Times New Roman"/>
          <w:sz w:val="28"/>
          <w:szCs w:val="28"/>
          <w:lang w:eastAsia="zh-CN"/>
        </w:rPr>
        <w:t>落实厉行节约精神，严格压缩公用经费规模和成本</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66.93</w:t>
      </w:r>
      <w:r>
        <w:rPr>
          <w:rFonts w:hint="eastAsia" w:ascii="仿宋_GB2312" w:eastAsia="仿宋_GB2312"/>
          <w:sz w:val="28"/>
          <w:szCs w:val="28"/>
        </w:rPr>
        <w:t>万元，其中：政府采购货物支出</w:t>
      </w:r>
      <w:r>
        <w:rPr>
          <w:rFonts w:ascii="仿宋_GB2312" w:eastAsia="仿宋_GB2312"/>
          <w:sz w:val="28"/>
          <w:szCs w:val="28"/>
        </w:rPr>
        <w:t>0.78</w:t>
      </w:r>
      <w:r>
        <w:rPr>
          <w:rFonts w:hint="eastAsia" w:ascii="仿宋_GB2312" w:eastAsia="仿宋_GB2312"/>
          <w:sz w:val="28"/>
          <w:szCs w:val="28"/>
        </w:rPr>
        <w:t>万元，政府采购服务支出</w:t>
      </w:r>
      <w:r>
        <w:rPr>
          <w:rFonts w:ascii="仿宋_GB2312" w:eastAsia="仿宋_GB2312"/>
          <w:sz w:val="28"/>
          <w:szCs w:val="28"/>
        </w:rPr>
        <w:t>66.15</w:t>
      </w:r>
      <w:r>
        <w:rPr>
          <w:rFonts w:hint="eastAsia" w:ascii="仿宋_GB2312" w:eastAsia="仿宋_GB2312"/>
          <w:sz w:val="28"/>
          <w:szCs w:val="28"/>
        </w:rPr>
        <w:t>万元。授予中小企业合同金额</w:t>
      </w:r>
      <w:r>
        <w:rPr>
          <w:rFonts w:ascii="仿宋_GB2312" w:eastAsia="仿宋_GB2312"/>
          <w:sz w:val="28"/>
          <w:szCs w:val="28"/>
        </w:rPr>
        <w:t>64.83</w:t>
      </w:r>
      <w:r>
        <w:rPr>
          <w:rFonts w:hint="eastAsia" w:ascii="仿宋_GB2312" w:eastAsia="仿宋_GB2312"/>
          <w:sz w:val="28"/>
          <w:szCs w:val="28"/>
        </w:rPr>
        <w:t>万元，占政府采购支出总额的</w:t>
      </w:r>
      <w:r>
        <w:rPr>
          <w:rFonts w:hint="eastAsia" w:ascii="仿宋_GB2312" w:eastAsia="仿宋_GB2312"/>
          <w:sz w:val="28"/>
          <w:szCs w:val="28"/>
          <w:lang w:eastAsia="zh-CN"/>
        </w:rPr>
        <w:t>96.86</w:t>
      </w:r>
      <w:r>
        <w:rPr>
          <w:rFonts w:hint="eastAsia" w:ascii="仿宋_GB2312" w:eastAsia="仿宋_GB2312"/>
          <w:sz w:val="28"/>
          <w:szCs w:val="28"/>
        </w:rPr>
        <w:t>%，其中：授予小微企业合同金额</w:t>
      </w:r>
      <w:r>
        <w:rPr>
          <w:rFonts w:ascii="仿宋_GB2312" w:eastAsia="仿宋_GB2312"/>
          <w:sz w:val="28"/>
          <w:szCs w:val="28"/>
        </w:rPr>
        <w:t>64.83</w:t>
      </w:r>
      <w:r>
        <w:rPr>
          <w:rFonts w:hint="eastAsia" w:ascii="仿宋_GB2312" w:eastAsia="仿宋_GB2312"/>
          <w:sz w:val="28"/>
          <w:szCs w:val="28"/>
        </w:rPr>
        <w:t>万元，占政府采购支出总额的</w:t>
      </w:r>
      <w:r>
        <w:rPr>
          <w:rFonts w:ascii="仿宋_GB2312" w:eastAsia="仿宋_GB2312"/>
          <w:sz w:val="28"/>
          <w:szCs w:val="28"/>
        </w:rPr>
        <w:t>96.86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12月31日，北京市交通委员会昌平公路分局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hAnsi="Times New Roman" w:eastAsia="仿宋_GB2312" w:cs="Times New Roman"/>
          <w:sz w:val="28"/>
          <w:szCs w:val="28"/>
        </w:rPr>
        <w:t>7.</w:t>
      </w:r>
      <w:r>
        <w:rPr>
          <w:rFonts w:hint="eastAsia" w:ascii="仿宋_GB2312" w:eastAsia="仿宋_GB2312"/>
          <w:sz w:val="28"/>
          <w:szCs w:val="28"/>
        </w:rPr>
        <w:t>教育支出（类）进修及培训（款）培训支出（项）：</w:t>
      </w:r>
      <w:r>
        <w:rPr>
          <w:rFonts w:hint="eastAsia" w:ascii="仿宋_GB2312" w:eastAsia="仿宋_GB2312"/>
          <w:sz w:val="28"/>
          <w:szCs w:val="28"/>
          <w:lang w:eastAsia="zh-CN"/>
        </w:rPr>
        <w:t>是指</w:t>
      </w:r>
      <w:r>
        <w:rPr>
          <w:rFonts w:hint="eastAsia" w:ascii="仿宋_GB2312" w:eastAsia="仿宋_GB2312"/>
          <w:sz w:val="28"/>
          <w:szCs w:val="28"/>
        </w:rPr>
        <w:t>各部门安排用于培训的支出。教育部门的师资培训，党校、行政学院等专业干部教育机构的支出，以及退役士兵、转业士官的培训支出，不在本科目反映。</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ind w:firstLine="420" w:firstLineChars="150"/>
        <w:rPr>
          <w:rFonts w:ascii="仿宋_GB2312" w:eastAsia="仿宋_GB2312"/>
          <w:sz w:val="28"/>
          <w:szCs w:val="28"/>
          <w:highlight w:val="none"/>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rPr>
        <w:t>社会保障和就业支出（类）行政事业单位养老支出（款）其他行政事业单位养老支出（项）：反映出上述项目以外其他用于行政事业单位养老方面的支出。</w:t>
      </w:r>
    </w:p>
    <w:p>
      <w:pPr>
        <w:ind w:firstLine="420" w:firstLineChars="150"/>
        <w:rPr>
          <w:rFonts w:hint="eastAsia" w:ascii="仿宋_GB2312" w:eastAsia="仿宋_GB2312"/>
          <w:sz w:val="28"/>
          <w:szCs w:val="28"/>
        </w:rPr>
      </w:pPr>
      <w:r>
        <w:rPr>
          <w:rFonts w:hint="eastAsia" w:ascii="仿宋_GB2312" w:eastAsia="仿宋_GB2312"/>
          <w:sz w:val="28"/>
          <w:szCs w:val="28"/>
          <w:highlight w:val="none"/>
          <w:lang w:val="en-US" w:eastAsia="zh-CN"/>
        </w:rPr>
        <w:t>12.</w:t>
      </w:r>
      <w:r>
        <w:rPr>
          <w:rFonts w:hint="eastAsia" w:ascii="仿宋_GB2312" w:eastAsia="仿宋_GB2312"/>
          <w:sz w:val="28"/>
          <w:szCs w:val="28"/>
        </w:rPr>
        <w:t>社会保障和就业支出（类）其他社会保障和就业支出（款）其他社会保障和就业支出（项）：反映除人力资源和社会保障管理事务、民政管理事务、补充全国社会保障基金、行政事业单位养老支出、企业改革补助、就业补助、抚恤、退役安置、社会福利、残疾人事业、红十字事业、最低生活保障、临时救助、特困人员救助供养、补充道路交通事故社会救助基金、其他生活救助、财政对基本养老保险基金的补助、财政对其他社会保险基金的补助、退役军人管理实务、财政代缴社会保险费支出、大中型水库移民后期扶持基金支出、小型水库移民扶助基金安排的支出、小型水库移民扶助基金对应专项债务收入安排的支出等项目以外其他用于社会保障和就业方面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交通运输支出（类）公路水路运输（款）公路建设（项）：反映新建公路支出，公路改建支出，特大型桥梁建设支出，公路客货运站（场）建设支出。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16.</w:t>
      </w:r>
      <w:r>
        <w:rPr>
          <w:rFonts w:hint="eastAsia" w:ascii="仿宋_GB2312" w:eastAsia="仿宋_GB2312"/>
          <w:sz w:val="28"/>
          <w:szCs w:val="28"/>
        </w:rPr>
        <w:t>交通运输支出（类）公路水路运输（款）公路养护（项）：反映公路养护支出。</w:t>
      </w:r>
    </w:p>
    <w:p>
      <w:pPr>
        <w:ind w:firstLine="420" w:firstLineChars="150"/>
        <w:rPr>
          <w:rFonts w:ascii="仿宋_GB2312" w:eastAsia="仿宋_GB2312"/>
          <w:sz w:val="28"/>
          <w:szCs w:val="28"/>
        </w:rPr>
      </w:pPr>
      <w:r>
        <w:rPr>
          <w:rFonts w:hint="eastAsia" w:ascii="仿宋_GB2312" w:eastAsia="仿宋_GB2312"/>
          <w:sz w:val="28"/>
          <w:szCs w:val="28"/>
          <w:lang w:val="en-US" w:eastAsia="zh-CN"/>
        </w:rPr>
        <w:t>17.</w:t>
      </w:r>
      <w:r>
        <w:rPr>
          <w:rFonts w:hint="eastAsia" w:ascii="仿宋_GB2312" w:eastAsia="仿宋_GB2312"/>
          <w:sz w:val="28"/>
          <w:szCs w:val="28"/>
        </w:rPr>
        <w:t>交通运输支出（类）公路水路运输（款）其他公路水路运输支出（项）：反映</w:t>
      </w:r>
      <w:r>
        <w:rPr>
          <w:rFonts w:hint="eastAsia" w:ascii="仿宋_GB2312" w:eastAsia="仿宋_GB2312"/>
          <w:sz w:val="28"/>
          <w:szCs w:val="28"/>
          <w:lang w:eastAsia="zh-CN"/>
        </w:rPr>
        <w:t>除</w:t>
      </w:r>
      <w:r>
        <w:rPr>
          <w:rFonts w:hint="eastAsia" w:ascii="仿宋_GB2312" w:eastAsia="仿宋_GB2312"/>
          <w:sz w:val="28"/>
          <w:szCs w:val="28"/>
        </w:rPr>
        <w:t>上述项目以外其他用于公路水路运输方面的支出。</w:t>
      </w:r>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E85622A"/>
    <w:rsid w:val="0F8E2C57"/>
    <w:rsid w:val="1059665E"/>
    <w:rsid w:val="10AC13BA"/>
    <w:rsid w:val="145A6C1B"/>
    <w:rsid w:val="14B73493"/>
    <w:rsid w:val="167A2FF9"/>
    <w:rsid w:val="168A0DBC"/>
    <w:rsid w:val="18581C69"/>
    <w:rsid w:val="196B6670"/>
    <w:rsid w:val="1AEC0734"/>
    <w:rsid w:val="1DEF20B0"/>
    <w:rsid w:val="214243FA"/>
    <w:rsid w:val="21AD613C"/>
    <w:rsid w:val="22467189"/>
    <w:rsid w:val="250C317E"/>
    <w:rsid w:val="257A14F5"/>
    <w:rsid w:val="27196C26"/>
    <w:rsid w:val="29EF086F"/>
    <w:rsid w:val="2EFFE297"/>
    <w:rsid w:val="301437CA"/>
    <w:rsid w:val="349D1F0A"/>
    <w:rsid w:val="34DD0473"/>
    <w:rsid w:val="389D3D2E"/>
    <w:rsid w:val="39032C01"/>
    <w:rsid w:val="3C684897"/>
    <w:rsid w:val="433E495C"/>
    <w:rsid w:val="489F2FD7"/>
    <w:rsid w:val="4AC27CB3"/>
    <w:rsid w:val="4BF72BEF"/>
    <w:rsid w:val="4FA90297"/>
    <w:rsid w:val="4FC41A43"/>
    <w:rsid w:val="51DB3C59"/>
    <w:rsid w:val="54263FA6"/>
    <w:rsid w:val="550C0952"/>
    <w:rsid w:val="55762E42"/>
    <w:rsid w:val="57A7B272"/>
    <w:rsid w:val="58470068"/>
    <w:rsid w:val="58747CAC"/>
    <w:rsid w:val="5A1720F9"/>
    <w:rsid w:val="5B9C37C2"/>
    <w:rsid w:val="5BA7C654"/>
    <w:rsid w:val="60A54109"/>
    <w:rsid w:val="61D01CDF"/>
    <w:rsid w:val="64C0607C"/>
    <w:rsid w:val="65756C86"/>
    <w:rsid w:val="674D385B"/>
    <w:rsid w:val="676F09E1"/>
    <w:rsid w:val="68AD5BDC"/>
    <w:rsid w:val="72973125"/>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EEFD4DD9"/>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false"/>
      <c:spPr>
        <a:noFill/>
        <a:ln>
          <a:noFill/>
        </a:ln>
        <a:effectLst/>
      </c:spPr>
    </c:title>
    <c:autoTitleDeleted val="false"/>
    <c:plotArea>
      <c:layout/>
      <c:pieChart>
        <c:varyColors val="true"/>
        <c:ser>
          <c:idx val="0"/>
          <c:order val="0"/>
          <c:tx>
            <c:strRef>
              <c:f>Sheet1!$B$1</c:f>
              <c:strCache>
                <c:ptCount val="1"/>
                <c:pt idx="0">
                  <c:v>收入</c:v>
                </c:pt>
              </c:strCache>
            </c:strRef>
          </c:tx>
          <c:spPr/>
          <c:explosion val="0"/>
          <c:dPt>
            <c:idx val="0"/>
            <c:bubble3D val="false"/>
            <c:spPr>
              <a:solidFill>
                <a:schemeClr val="accent1">
                  <a:shade val="76667"/>
                </a:schemeClr>
              </a:solidFill>
              <a:ln w="19050">
                <a:solidFill>
                  <a:schemeClr val="lt1"/>
                </a:solidFill>
              </a:ln>
              <a:effectLst/>
            </c:spPr>
          </c:dPt>
          <c:dPt>
            <c:idx val="1"/>
            <c:bubble3D val="false"/>
            <c:spPr>
              <a:solidFill>
                <a:schemeClr val="accent2">
                  <a:shade val="76667"/>
                </a:schemeClr>
              </a:solidFill>
              <a:ln w="19050">
                <a:solidFill>
                  <a:schemeClr val="lt1"/>
                </a:solidFill>
              </a:ln>
              <a:effectLst/>
            </c:spPr>
          </c:dPt>
          <c:dPt>
            <c:idx val="2"/>
            <c:bubble3D val="false"/>
            <c:spPr>
              <a:solidFill>
                <a:schemeClr val="accent3">
                  <a:shade val="76667"/>
                </a:schemeClr>
              </a:solidFill>
              <a:ln w="19050">
                <a:solidFill>
                  <a:schemeClr val="lt1"/>
                </a:solidFill>
              </a:ln>
              <a:effectLst/>
            </c:spPr>
          </c:dPt>
          <c:dPt>
            <c:idx val="3"/>
            <c:bubble3D val="false"/>
            <c:spPr>
              <a:solidFill>
                <a:schemeClr val="accent4">
                  <a:shade val="76667"/>
                </a:schemeClr>
              </a:solidFill>
              <a:ln w="19050">
                <a:solidFill>
                  <a:schemeClr val="lt1"/>
                </a:solidFill>
              </a:ln>
              <a:effectLst/>
            </c:spPr>
          </c:dPt>
          <c:dPt>
            <c:idx val="4"/>
            <c:bubble3D val="false"/>
            <c:spPr>
              <a:solidFill>
                <a:schemeClr val="accent5">
                  <a:shade val="76667"/>
                </a:schemeClr>
              </a:solidFill>
              <a:ln w="19050">
                <a:solidFill>
                  <a:schemeClr val="lt1"/>
                </a:solidFill>
              </a:ln>
              <a:effectLst/>
            </c:spPr>
          </c:dPt>
          <c:dPt>
            <c:idx val="5"/>
            <c:bubble3D val="false"/>
            <c:spPr>
              <a:solidFill>
                <a:schemeClr val="accent6">
                  <a:shade val="76667"/>
                </a:schemeClr>
              </a:solidFill>
              <a:ln w="19050">
                <a:solidFill>
                  <a:schemeClr val="lt1"/>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25312.72</c:v>
                </c:pt>
                <c:pt idx="1">
                  <c:v>0</c:v>
                </c:pt>
                <c:pt idx="2">
                  <c:v>0</c:v>
                </c:pt>
                <c:pt idx="3">
                  <c:v>0</c:v>
                </c:pt>
                <c:pt idx="4">
                  <c:v>0</c:v>
                </c:pt>
                <c:pt idx="5">
                  <c:v>4939.08</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no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0"/>
              <c:layout>
                <c:manualLayout>
                  <c:x val="-0.0101680303759414"/>
                  <c:y val="0.098645687563383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2"/>
              <c:layout>
                <c:manualLayout>
                  <c:x val="-0.0994203960678167"/>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manualLayout>
                      <c:w val="0.0838888888888889"/>
                      <c:h val="0.0627314814814815"/>
                    </c:manualLayout>
                  </c15:layout>
                </c:ext>
              </c:extLst>
            </c:dLbl>
            <c:dLbl>
              <c:idx val="3"/>
              <c:layout>
                <c:manualLayout>
                  <c:x val="0.15625"/>
                  <c:y val="0.0729166666666667"/>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255945639747231"/>
                  <c:y val="-0.00684988160104882"/>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false"/>
            <c:extLst>
              <c:ext xmlns:c15="http://schemas.microsoft.com/office/drawing/2012/chart" uri="{CE6537A1-D6FC-4f65-9D91-7224C49458BB}">
                <c15:layout/>
                <c15:showLeaderLines val="false"/>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2303.04</c:v>
                </c:pt>
                <c:pt idx="1">
                  <c:v>33570.47</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107</TotalTime>
  <ScaleCrop>false</ScaleCrop>
  <LinksUpToDate>false</LinksUpToDate>
  <CharactersWithSpaces>5779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bmct-aktd</cp:lastModifiedBy>
  <cp:lastPrinted>2020-08-07T19:39:00Z</cp:lastPrinted>
  <dcterms:modified xsi:type="dcterms:W3CDTF">2025-09-11T10:52:26Z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